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8B0038" w:rsidRPr="00892F08" w:rsidTr="008B0038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8B0038" w:rsidRPr="00892F08" w:rsidRDefault="008B0038" w:rsidP="008B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0038" w:rsidRPr="00892F08" w:rsidTr="008B0038">
        <w:trPr>
          <w:tblCellSpacing w:w="0" w:type="dxa"/>
        </w:trPr>
        <w:tc>
          <w:tcPr>
            <w:tcW w:w="0" w:type="auto"/>
            <w:vAlign w:val="center"/>
            <w:hideMark/>
          </w:tcPr>
          <w:p w:rsidR="008B0038" w:rsidRPr="00892F08" w:rsidRDefault="008B0038" w:rsidP="008B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B0038" w:rsidRPr="00892F08" w:rsidRDefault="008B0038" w:rsidP="008B0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0038" w:rsidRPr="00892F08" w:rsidTr="008B00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0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  <w:gridCol w:w="5340"/>
            </w:tblGrid>
            <w:tr w:rsidR="008B0038" w:rsidRPr="00892F08">
              <w:trPr>
                <w:trHeight w:val="1417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038" w:rsidRPr="00892F08" w:rsidRDefault="008B0038" w:rsidP="008B0038">
                  <w:pPr>
                    <w:spacing w:before="100" w:beforeAutospacing="1" w:after="100" w:afterAutospacing="1" w:line="34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UỶ BAN THƯỜNG VỤ QUỐC HỘI</w:t>
                  </w:r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___________</w:t>
                  </w:r>
                </w:p>
                <w:p w:rsidR="008B0038" w:rsidRPr="00892F08" w:rsidRDefault="008B0038" w:rsidP="008B0038">
                  <w:pPr>
                    <w:spacing w:before="100" w:beforeAutospacing="1" w:after="100" w:afterAutospacing="1" w:line="34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892F08">
                    <w:rPr>
                      <w:rFonts w:ascii="Arial" w:eastAsia="Times New Roman" w:hAnsi="Arial" w:cs="Arial"/>
                      <w:sz w:val="24"/>
                      <w:szCs w:val="24"/>
                    </w:rPr>
                    <w:t>Số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sz w:val="24"/>
                      <w:szCs w:val="24"/>
                    </w:rPr>
                    <w:t>: 407/NQ-UBTVQH13</w:t>
                  </w:r>
                </w:p>
                <w:p w:rsidR="008B0038" w:rsidRPr="00892F08" w:rsidRDefault="008B0038" w:rsidP="008B0038">
                  <w:pPr>
                    <w:spacing w:before="100" w:beforeAutospacing="1" w:after="100" w:afterAutospacing="1" w:line="34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92F0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038" w:rsidRPr="00892F08" w:rsidRDefault="008B0038" w:rsidP="008B0038">
                  <w:pPr>
                    <w:spacing w:before="100" w:beforeAutospacing="1" w:after="100" w:afterAutospacing="1" w:line="34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CỘNG HOÀ XÃ HỘI CHỦ NGHĨA VIỆT NAM</w:t>
                  </w:r>
                </w:p>
                <w:p w:rsidR="008B0038" w:rsidRPr="00892F08" w:rsidRDefault="008B0038" w:rsidP="008B0038">
                  <w:pPr>
                    <w:spacing w:before="100" w:beforeAutospacing="1" w:after="240" w:line="34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Độc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lập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 - </w:t>
                  </w:r>
                  <w:proofErr w:type="spellStart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Hạnh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phúc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_________________________</w:t>
                  </w:r>
                </w:p>
                <w:p w:rsidR="008B0038" w:rsidRPr="00892F08" w:rsidRDefault="008B0038" w:rsidP="008B0038">
                  <w:pPr>
                    <w:spacing w:before="100" w:beforeAutospacing="1" w:after="100" w:afterAutospacing="1" w:line="34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Hà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Nội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ngày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22 </w:t>
                  </w:r>
                  <w:proofErr w:type="spellStart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tháng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11 </w:t>
                  </w:r>
                  <w:proofErr w:type="spellStart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năm</w:t>
                  </w:r>
                  <w:proofErr w:type="spellEnd"/>
                  <w:r w:rsidRPr="00892F0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2011</w:t>
                  </w:r>
                </w:p>
              </w:tc>
            </w:tr>
          </w:tbl>
          <w:p w:rsidR="008B0038" w:rsidRPr="00892F08" w:rsidRDefault="008B0038" w:rsidP="008B0038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8B0038" w:rsidRPr="00892F08" w:rsidRDefault="008B0038" w:rsidP="008B0038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NGHỊ QUYẾT</w:t>
            </w:r>
          </w:p>
          <w:p w:rsidR="008B0038" w:rsidRPr="00892F08" w:rsidRDefault="008B0038" w:rsidP="008B0038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chương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trình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</w:p>
          <w:p w:rsidR="008B0038" w:rsidRPr="00892F08" w:rsidRDefault="008B0038" w:rsidP="008B0038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năm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 xml:space="preserve"> 2012</w:t>
            </w:r>
            <w:r w:rsidRPr="00892F0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br/>
            </w:r>
            <w:r w:rsidRPr="00892F08">
              <w:rPr>
                <w:rFonts w:ascii="Arial" w:eastAsia="Times New Roman" w:hAnsi="Arial" w:cs="Arial"/>
                <w:b/>
                <w:bCs/>
                <w:sz w:val="36"/>
              </w:rPr>
              <w:t>_________</w:t>
            </w:r>
          </w:p>
          <w:p w:rsidR="008B0038" w:rsidRPr="00892F08" w:rsidRDefault="008B0038" w:rsidP="008B0038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B0038" w:rsidRPr="00892F08" w:rsidRDefault="008B0038" w:rsidP="008B0038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UỶ BAN THƯỜNG VỤ QUỐC HỘI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Căn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cứ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Luật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05/2003/QH11;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Căn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cứ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Nghị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quyết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Chương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trình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năm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2012,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số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15/2011/QH13;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Trên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cơ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sở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xem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xét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đề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nghị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đồng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tộc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Đoàn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đại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biểu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Trung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ương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Mặt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trận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Tổ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Việt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Nam;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B0038" w:rsidRPr="00892F08" w:rsidRDefault="008B0038" w:rsidP="008B0038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QUYẾT NGHỊ: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Điều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1.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tiến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hành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như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sau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1-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Xem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xét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bổ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sung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Chính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phủ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đánh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kết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quả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nhiệm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phát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triển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tế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xã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ngân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nước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2011;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tình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hình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kế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hoạch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phát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triển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tế-xã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ngân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nước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những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tháng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đầu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2012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khác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cơ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hữu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chuẩn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bị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trình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thứ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3 (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phiên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tháng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4/2012</w:t>
            </w:r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). 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Xem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xét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Chính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phủ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tình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hình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nhiệm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phát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triển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tế-xã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dự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toán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ngân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nước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2012;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cơ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Tòa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án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tối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cao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Viện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kiểm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tối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cao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khác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cơ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hữu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chuẩn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bị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trình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thứ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4 </w:t>
            </w:r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phiên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tháng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9/2012). 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Tổ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chức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triển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khai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chuẩn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bị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để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2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chuyên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đề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:  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chính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sách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pháp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luật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đầu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tư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công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cho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nông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nghiệp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nông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,</w:t>
            </w:r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nông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thôn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r w:rsidRPr="00892F0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thứ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3)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chính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sách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pháp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luật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trong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giải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quyết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khiếu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nại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tố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công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đối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với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quyết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định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hành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chính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đất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đai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thứ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4)</w:t>
            </w:r>
            <w:r w:rsidRPr="00892F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2-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Tiến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hành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chuyên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đề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Chuyên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đề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chính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sách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pháp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luật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người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có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công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với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cách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mạng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phiên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tháng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4/2012);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- </w:t>
            </w:r>
            <w:proofErr w:type="spellStart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Chuyên</w:t>
            </w:r>
            <w:proofErr w:type="spellEnd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đề</w:t>
            </w:r>
            <w:proofErr w:type="spellEnd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chính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sách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pháp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luật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quản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lý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khai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thác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khoáng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sản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gắn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với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bảo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vệ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môi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4"/>
                <w:sz w:val="24"/>
                <w:szCs w:val="24"/>
              </w:rPr>
              <w:t>trường</w:t>
            </w:r>
            <w:proofErr w:type="spellEnd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(</w:t>
            </w:r>
            <w:proofErr w:type="spellStart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phiên</w:t>
            </w:r>
            <w:proofErr w:type="spellEnd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tháng</w:t>
            </w:r>
            <w:proofErr w:type="spellEnd"/>
            <w:r w:rsidRPr="00892F0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8/2012); 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huyên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đề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chính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sách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pháp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luật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đất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ở,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đất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sản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xuất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cho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đồng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bào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tộc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thiểu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số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phiên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tháng</w:t>
            </w:r>
            <w:proofErr w:type="spellEnd"/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9/2012).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3-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giải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quyết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kiến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nghị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cử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tri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gửi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đến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thứ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2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thứ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3);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giải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quyết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kiến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nghị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cử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tri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gửi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đến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thứ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thứ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4).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4-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hai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lần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chất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vấn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trả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lời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chất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vấn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phiên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Ủy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những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vấn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đề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đã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được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giao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những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chất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vấn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khác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đại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biểu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gửi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tới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trong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thời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gian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giữa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hai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kỳ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họp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.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5-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đồng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khác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thuộc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nhiệm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quyền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hạn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theo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quy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định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pháp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luật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Điều</w:t>
            </w:r>
            <w:proofErr w:type="spellEnd"/>
            <w:r w:rsidRPr="0089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2.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đồng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tộc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Đoàn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đại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biểu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nghiêm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túc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sự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điều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hòa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phối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hợp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kịp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thời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tổng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hợp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về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;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công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liên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khi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triển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khai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chương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trình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;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theo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dõi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đôn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việc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giải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quyết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kiến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nghị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sau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báo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cáo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kết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quả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với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theo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Kế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hoạch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triển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khai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thực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hiện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do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</w:rPr>
              <w:t>hành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)</w:t>
            </w:r>
            <w:r w:rsidRPr="00892F0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. </w:t>
            </w:r>
          </w:p>
          <w:p w:rsidR="008B0038" w:rsidRPr="00892F0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Văn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phòng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Ủy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căn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cứ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vào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nhiệm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mình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phối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hợp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tổ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chức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phục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có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hiệu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quả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hoạt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động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giám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sát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.</w:t>
            </w:r>
          </w:p>
          <w:p w:rsidR="008B0038" w:rsidRDefault="008B0038" w:rsidP="008B0038">
            <w:pPr>
              <w:spacing w:after="0" w:line="340" w:lineRule="atLeast"/>
              <w:ind w:firstLine="720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đồng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dân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tộc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Đoàn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đại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biểu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Văn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phòng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cơ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của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Uỷ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thường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vụ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Quốc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hội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các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cơ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hữu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quan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ở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trung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ương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và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địa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phương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có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trách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nhiệm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thi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hành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Nghị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quyết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này</w:t>
            </w:r>
            <w:proofErr w:type="spellEnd"/>
            <w:r w:rsidRPr="00892F0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.</w:t>
            </w:r>
          </w:p>
          <w:tbl>
            <w:tblPr>
              <w:tblW w:w="918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94"/>
              <w:gridCol w:w="5386"/>
            </w:tblGrid>
            <w:tr w:rsidR="008B0038" w:rsidRPr="00892F08"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038" w:rsidRPr="00892F08" w:rsidRDefault="008B0038" w:rsidP="00892F08">
                  <w:pPr>
                    <w:spacing w:before="100" w:beforeAutospacing="1" w:after="100" w:afterAutospacing="1" w:line="2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038" w:rsidRPr="00892F08" w:rsidRDefault="008B0038" w:rsidP="008B0038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B0038" w:rsidRPr="00892F08" w:rsidRDefault="008B0038" w:rsidP="008B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B0038" w:rsidRPr="00892F08" w:rsidRDefault="008B0038" w:rsidP="008B0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609C8" w:rsidRDefault="00892F08" w:rsidP="00892F08">
      <w:pPr>
        <w:jc w:val="both"/>
        <w:rPr>
          <w:rFonts w:ascii="Arial" w:hAnsi="Arial" w:cs="Arial"/>
        </w:rPr>
      </w:pPr>
    </w:p>
    <w:p w:rsidR="00892F08" w:rsidRPr="00892F08" w:rsidRDefault="00892F08" w:rsidP="00892F08">
      <w:pPr>
        <w:spacing w:before="100" w:beforeAutospacing="1" w:after="100" w:afterAutospacing="1" w:line="28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892F08">
        <w:rPr>
          <w:rFonts w:ascii="Arial" w:eastAsia="Times New Roman" w:hAnsi="Arial" w:cs="Arial"/>
          <w:b/>
          <w:bCs/>
          <w:sz w:val="24"/>
          <w:szCs w:val="24"/>
        </w:rPr>
        <w:t>TM. UỶ BAN THƯỜNG VỤ QUỐC HỘI</w:t>
      </w:r>
    </w:p>
    <w:p w:rsidR="00892F08" w:rsidRPr="00892F08" w:rsidRDefault="00892F08" w:rsidP="00892F08">
      <w:pPr>
        <w:spacing w:before="100" w:beforeAutospacing="1" w:after="100" w:afterAutospacing="1" w:line="28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892F08">
        <w:rPr>
          <w:rFonts w:ascii="Arial" w:eastAsia="Times New Roman" w:hAnsi="Arial" w:cs="Arial"/>
          <w:b/>
          <w:bCs/>
          <w:sz w:val="24"/>
          <w:szCs w:val="24"/>
        </w:rPr>
        <w:t>CHỦ TỊCH</w:t>
      </w:r>
    </w:p>
    <w:p w:rsidR="00892F08" w:rsidRPr="00892F08" w:rsidRDefault="00892F08" w:rsidP="00892F08">
      <w:pPr>
        <w:spacing w:before="100" w:beforeAutospacing="1" w:after="100" w:afterAutospacing="1" w:line="28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892F08">
        <w:rPr>
          <w:rFonts w:ascii="Arial" w:eastAsia="Times New Roman" w:hAnsi="Arial" w:cs="Arial"/>
          <w:i/>
          <w:iCs/>
          <w:sz w:val="24"/>
          <w:szCs w:val="24"/>
        </w:rPr>
        <w:t>(</w:t>
      </w:r>
      <w:proofErr w:type="spellStart"/>
      <w:r w:rsidRPr="00892F08">
        <w:rPr>
          <w:rFonts w:ascii="Arial" w:eastAsia="Times New Roman" w:hAnsi="Arial" w:cs="Arial"/>
          <w:i/>
          <w:iCs/>
          <w:sz w:val="24"/>
          <w:szCs w:val="24"/>
        </w:rPr>
        <w:t>đã</w:t>
      </w:r>
      <w:proofErr w:type="spellEnd"/>
      <w:r w:rsidRPr="00892F0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892F08">
        <w:rPr>
          <w:rFonts w:ascii="Arial" w:eastAsia="Times New Roman" w:hAnsi="Arial" w:cs="Arial"/>
          <w:i/>
          <w:iCs/>
          <w:sz w:val="24"/>
          <w:szCs w:val="24"/>
        </w:rPr>
        <w:t>ký</w:t>
      </w:r>
      <w:proofErr w:type="spellEnd"/>
      <w:r w:rsidRPr="00892F08"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:rsidR="00892F08" w:rsidRPr="00892F08" w:rsidRDefault="00892F08" w:rsidP="00892F08">
      <w:pPr>
        <w:spacing w:before="100" w:beforeAutospacing="1" w:after="100" w:afterAutospacing="1" w:line="280" w:lineRule="exact"/>
        <w:jc w:val="center"/>
        <w:rPr>
          <w:rFonts w:ascii="Arial" w:hAnsi="Arial" w:cs="Arial"/>
        </w:rPr>
      </w:pPr>
      <w:proofErr w:type="spellStart"/>
      <w:r w:rsidRPr="00892F08">
        <w:rPr>
          <w:rFonts w:ascii="Arial" w:eastAsia="Times New Roman" w:hAnsi="Arial" w:cs="Arial"/>
          <w:b/>
          <w:bCs/>
          <w:sz w:val="24"/>
          <w:szCs w:val="24"/>
        </w:rPr>
        <w:t>Nguyễn</w:t>
      </w:r>
      <w:proofErr w:type="spellEnd"/>
      <w:r w:rsidRPr="00892F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92F08">
        <w:rPr>
          <w:rFonts w:ascii="Arial" w:eastAsia="Times New Roman" w:hAnsi="Arial" w:cs="Arial"/>
          <w:b/>
          <w:bCs/>
          <w:sz w:val="24"/>
          <w:szCs w:val="24"/>
        </w:rPr>
        <w:t>Sinh</w:t>
      </w:r>
      <w:proofErr w:type="spellEnd"/>
      <w:r w:rsidRPr="00892F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92F08">
        <w:rPr>
          <w:rFonts w:ascii="Arial" w:eastAsia="Times New Roman" w:hAnsi="Arial" w:cs="Arial"/>
          <w:b/>
          <w:bCs/>
          <w:sz w:val="24"/>
          <w:szCs w:val="24"/>
        </w:rPr>
        <w:t>Hùng</w:t>
      </w:r>
      <w:proofErr w:type="spellEnd"/>
    </w:p>
    <w:sectPr w:rsidR="00892F08" w:rsidRPr="00892F08" w:rsidSect="0065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0038"/>
    <w:rsid w:val="000E195F"/>
    <w:rsid w:val="006562AC"/>
    <w:rsid w:val="00892F08"/>
    <w:rsid w:val="008B0038"/>
    <w:rsid w:val="00A12ABD"/>
    <w:rsid w:val="00F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0038"/>
    <w:rPr>
      <w:b/>
      <w:bCs/>
    </w:rPr>
  </w:style>
  <w:style w:type="character" w:styleId="Emphasis">
    <w:name w:val="Emphasis"/>
    <w:basedOn w:val="DefaultParagraphFont"/>
    <w:uiPriority w:val="20"/>
    <w:qFormat/>
    <w:rsid w:val="008B00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5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5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76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1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6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0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9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2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8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0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8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48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4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79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56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5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5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2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5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70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69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70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15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7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6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2E5C4-A121-4A36-9E4A-F5D6E8BE25D2}"/>
</file>

<file path=customXml/itemProps2.xml><?xml version="1.0" encoding="utf-8"?>
<ds:datastoreItem xmlns:ds="http://schemas.openxmlformats.org/officeDocument/2006/customXml" ds:itemID="{83AAB608-95BA-4BCC-99A5-46308473CA82}"/>
</file>

<file path=customXml/itemProps3.xml><?xml version="1.0" encoding="utf-8"?>
<ds:datastoreItem xmlns:ds="http://schemas.openxmlformats.org/officeDocument/2006/customXml" ds:itemID="{D65B38CE-D231-4673-ABA3-8768410D0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2012-09-14T10:02:00Z</dcterms:created>
  <dcterms:modified xsi:type="dcterms:W3CDTF">2012-09-17T08:52:00Z</dcterms:modified>
</cp:coreProperties>
</file>